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Style w:val="663"/>
        <w:pBdr/>
        <w:spacing/>
        <w:ind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Интерактивные методы обучения в эпоху новых технологий».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Мир вокруг нас стремительно меняется, требуя от нас постоянного обучения и развития. В этой непрерывной гонке знаний на передний план выходят образ</w:t>
      </w:r>
      <w:r>
        <w:rPr>
          <w:rFonts w:ascii="Times New Roman" w:hAnsi="Times New Roman" w:cs="Times New Roman"/>
          <w:sz w:val="24"/>
          <w:szCs w:val="24"/>
        </w:rPr>
        <w:t xml:space="preserve">овательные технологии, которые играют ключевую роль в том, чтобы сделать процесс обучения более эффективным, интересным и доступным. Рассмотрим несколько наиболее увлекательных и популярных технологий, которые трансформируют наше представление об обучении.</w:t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Методика «обратного класса»: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Эта инновационная модель обучения предполагает, что </w:t>
      </w:r>
      <w:r>
        <w:rPr>
          <w:rFonts w:ascii="Times New Roman" w:hAnsi="Times New Roman" w:cs="Times New Roman"/>
          <w:sz w:val="24"/>
          <w:szCs w:val="24"/>
        </w:rPr>
        <w:t xml:space="preserve">ребята </w:t>
      </w:r>
      <w:r>
        <w:rPr>
          <w:rFonts w:ascii="Times New Roman" w:hAnsi="Times New Roman" w:cs="Times New Roman"/>
          <w:sz w:val="24"/>
          <w:szCs w:val="24"/>
        </w:rPr>
        <w:t xml:space="preserve">знакомятся с новым материалом самостоятельно вне класса – например, посредством онлайн-лекций, видеоролико</w:t>
      </w:r>
      <w:r>
        <w:rPr>
          <w:rFonts w:ascii="Times New Roman" w:hAnsi="Times New Roman" w:cs="Times New Roman"/>
          <w:sz w:val="24"/>
          <w:szCs w:val="24"/>
        </w:rPr>
        <w:t xml:space="preserve">в или учебных материалов. Внутри же классов они применяют свои знания на практике под руководством преподавателя. Это позволяет создавать более интерактивную среду, где акцент делается на обсуждение, решение проблем и групповые проекты. Например, изучение </w:t>
      </w:r>
      <w:r>
        <w:rPr>
          <w:rFonts w:ascii="Times New Roman" w:hAnsi="Times New Roman" w:cs="Times New Roman"/>
          <w:sz w:val="24"/>
          <w:szCs w:val="24"/>
        </w:rPr>
        <w:t xml:space="preserve">« Кровеносной</w:t>
      </w:r>
      <w:r>
        <w:rPr>
          <w:rFonts w:ascii="Times New Roman" w:hAnsi="Times New Roman" w:cs="Times New Roman"/>
          <w:sz w:val="24"/>
          <w:szCs w:val="24"/>
        </w:rPr>
        <w:t xml:space="preserve"> системы» на уроке окружающего мира в 4 </w:t>
      </w:r>
      <w:r>
        <w:rPr>
          <w:rFonts w:ascii="Times New Roman" w:hAnsi="Times New Roman" w:cs="Times New Roman"/>
          <w:sz w:val="24"/>
          <w:szCs w:val="24"/>
        </w:rPr>
        <w:t xml:space="preserve">кл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  <w:r>
        <w:rPr>
          <w:rFonts w:ascii="Times New Roman" w:hAnsi="Times New Roman" w:cs="Times New Roman"/>
          <w:sz w:val="24"/>
          <w:szCs w:val="24"/>
        </w:rPr>
        <w:t xml:space="preserve"> можно превратить в живое обсуждение </w:t>
      </w:r>
      <w:r>
        <w:rPr>
          <w:rFonts w:ascii="Times New Roman" w:hAnsi="Times New Roman" w:cs="Times New Roman"/>
          <w:sz w:val="24"/>
          <w:szCs w:val="24"/>
        </w:rPr>
        <w:t xml:space="preserve">значения крови для человека</w:t>
      </w:r>
      <w:r>
        <w:rPr>
          <w:rFonts w:ascii="Times New Roman" w:hAnsi="Times New Roman" w:cs="Times New Roman"/>
          <w:sz w:val="24"/>
          <w:szCs w:val="24"/>
        </w:rPr>
        <w:t xml:space="preserve">, основанных на предв</w:t>
      </w:r>
      <w:r>
        <w:rPr>
          <w:rFonts w:ascii="Times New Roman" w:hAnsi="Times New Roman" w:cs="Times New Roman"/>
          <w:sz w:val="24"/>
          <w:szCs w:val="24"/>
        </w:rPr>
        <w:t xml:space="preserve">а</w:t>
      </w:r>
      <w:r>
        <w:rPr>
          <w:rFonts w:ascii="Times New Roman" w:hAnsi="Times New Roman" w:cs="Times New Roman"/>
          <w:sz w:val="24"/>
          <w:szCs w:val="24"/>
        </w:rPr>
        <w:t xml:space="preserve">рительно прочитанных статьях и просмотренных видео.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Дистанционное обучение: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Одним из самых значимых изменений в образовательной сфере стало развитие дистанционного обучения. С помощью онлайн-курсов, вебинаров и видеолекций каждый может учиться в удобное для себя время и месте, не выходя из дома. Представьте себе, что у </w:t>
      </w:r>
      <w:r>
        <w:rPr>
          <w:rFonts w:ascii="Times New Roman" w:hAnsi="Times New Roman" w:cs="Times New Roman"/>
          <w:sz w:val="24"/>
          <w:szCs w:val="24"/>
        </w:rPr>
        <w:t xml:space="preserve">школьника</w:t>
      </w:r>
      <w:r>
        <w:rPr>
          <w:rFonts w:ascii="Times New Roman" w:hAnsi="Times New Roman" w:cs="Times New Roman"/>
          <w:sz w:val="24"/>
          <w:szCs w:val="24"/>
        </w:rPr>
        <w:t xml:space="preserve"> есть доступ к лекциям Гарвардского университета или Стэнфордского университета прямо из своей спальни! Это не только удобно, но и экономически выгодно, полностью устраняя затраты на дорогу и проживание.</w:t>
      </w:r>
      <w:r>
        <w:rPr>
          <w:rFonts w:ascii="Times New Roman" w:hAnsi="Times New Roman" w:cs="Times New Roman"/>
          <w:sz w:val="24"/>
          <w:szCs w:val="24"/>
        </w:rPr>
        <w:t xml:space="preserve"> Я применяю это </w:t>
      </w:r>
      <w:r>
        <w:rPr>
          <w:rFonts w:ascii="Times New Roman" w:hAnsi="Times New Roman" w:cs="Times New Roman"/>
          <w:sz w:val="24"/>
          <w:szCs w:val="24"/>
        </w:rPr>
        <w:t xml:space="preserve">припрохождении</w:t>
      </w:r>
      <w:r>
        <w:rPr>
          <w:rFonts w:ascii="Times New Roman" w:hAnsi="Times New Roman" w:cs="Times New Roman"/>
          <w:sz w:val="24"/>
          <w:szCs w:val="24"/>
        </w:rPr>
        <w:t xml:space="preserve"> решения тренировочных заданий к подготовке к ВПР.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Геймификация обучения: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Все большую популярность набирает геймификация, которая превращает процесс обучения в увлекательную игру. Используя игровые механизмы – бэджи, уровни, очки, задания – образовательные платформы мотивируют </w:t>
      </w:r>
      <w:r>
        <w:rPr>
          <w:rFonts w:ascii="Times New Roman" w:hAnsi="Times New Roman" w:cs="Times New Roman"/>
          <w:sz w:val="24"/>
          <w:szCs w:val="24"/>
        </w:rPr>
        <w:t xml:space="preserve">учащихся</w:t>
      </w:r>
      <w:r>
        <w:rPr>
          <w:rFonts w:ascii="Times New Roman" w:hAnsi="Times New Roman" w:cs="Times New Roman"/>
          <w:sz w:val="24"/>
          <w:szCs w:val="24"/>
        </w:rPr>
        <w:t xml:space="preserve"> и делают обучение захватывающим опытом. Например, изучение </w:t>
      </w:r>
      <w:r>
        <w:rPr>
          <w:rFonts w:ascii="Times New Roman" w:hAnsi="Times New Roman" w:cs="Times New Roman"/>
          <w:sz w:val="24"/>
          <w:szCs w:val="24"/>
        </w:rPr>
        <w:t xml:space="preserve">таблицы умножения</w:t>
      </w:r>
      <w:r>
        <w:rPr>
          <w:rFonts w:ascii="Times New Roman" w:hAnsi="Times New Roman" w:cs="Times New Roman"/>
          <w:sz w:val="24"/>
          <w:szCs w:val="24"/>
        </w:rPr>
        <w:t xml:space="preserve"> можно превратить в игру, где за успешное выполнение заданий и тестов ученики получают награды и продвигаются по уровням, что усиливает их стремление к изучению.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Эти образовательные технологии не только способствуют более глубокому пониманию и </w:t>
      </w:r>
      <w:r>
        <w:rPr>
          <w:rFonts w:ascii="Times New Roman" w:hAnsi="Times New Roman" w:cs="Times New Roman"/>
          <w:sz w:val="24"/>
          <w:szCs w:val="24"/>
        </w:rPr>
        <w:t xml:space="preserve">усвоению информации, но и делают сам процесс обучения более увлекательным и продуктивным. Обучение становится частью повседневной жизни, а не рутинной обязанностью, что в конечном итоге ведет к большему успеху и удовлетворению от процесса получения знаний.</w:t>
      </w:r>
      <w:r>
        <w:rPr>
          <w:rFonts w:ascii="Times New Roman" w:hAnsi="Times New Roman" w:cs="Times New Roman"/>
          <w:sz w:val="24"/>
          <w:szCs w:val="24"/>
        </w:rPr>
        <w:t xml:space="preserve"> Платформа «</w:t>
      </w:r>
      <w:r>
        <w:rPr>
          <w:rFonts w:ascii="Times New Roman" w:hAnsi="Times New Roman" w:cs="Times New Roman"/>
          <w:sz w:val="24"/>
          <w:szCs w:val="24"/>
        </w:rPr>
        <w:t xml:space="preserve">Учи.РУ</w:t>
      </w:r>
      <w:r>
        <w:rPr>
          <w:rFonts w:ascii="Times New Roman" w:hAnsi="Times New Roman" w:cs="Times New Roman"/>
          <w:sz w:val="24"/>
          <w:szCs w:val="24"/>
        </w:rPr>
        <w:t xml:space="preserve">»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Изучайте новые знания и навыки с технологией STEAM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Если вы хотите дать своему </w:t>
      </w:r>
      <w:r>
        <w:rPr>
          <w:rFonts w:ascii="Times New Roman" w:hAnsi="Times New Roman" w:cs="Times New Roman"/>
          <w:sz w:val="24"/>
          <w:szCs w:val="24"/>
        </w:rPr>
        <w:t xml:space="preserve">ученику </w:t>
      </w:r>
      <w:r>
        <w:rPr>
          <w:rFonts w:ascii="Times New Roman" w:hAnsi="Times New Roman" w:cs="Times New Roman"/>
          <w:sz w:val="24"/>
          <w:szCs w:val="24"/>
        </w:rPr>
        <w:t xml:space="preserve">не просто разрозненные знания, а полный сп</w:t>
      </w:r>
      <w:r>
        <w:rPr>
          <w:rFonts w:ascii="Times New Roman" w:hAnsi="Times New Roman" w:cs="Times New Roman"/>
          <w:sz w:val="24"/>
          <w:szCs w:val="24"/>
        </w:rPr>
        <w:t xml:space="preserve">ектр умений и умений, которые будут востребованы в будущем, подумайте о внедрении в его образование новаторской технологии STEAM. Это комплексный подход к обучению, который объединяет ключевые дисциплины с особым акцентом на практическое применение знаний.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Уникальность этой технологии заключается в междисциплинарности. Учебные предметы не преподаются в изолированных рамках, а переплетаются в рамках интересных и полезных практических за</w:t>
      </w:r>
      <w:r>
        <w:rPr>
          <w:rFonts w:ascii="Times New Roman" w:hAnsi="Times New Roman" w:cs="Times New Roman"/>
          <w:sz w:val="24"/>
          <w:szCs w:val="24"/>
        </w:rPr>
        <w:t xml:space="preserve">даний: создание роботов, изучение основ программирования, разработка и конструирование различных устройств, креативное проектирование и участие в художественных проектах. Примером успешного использования STEAM-подхода является проект LEGO Education, которы</w:t>
      </w:r>
      <w:r>
        <w:rPr>
          <w:rFonts w:ascii="Times New Roman" w:hAnsi="Times New Roman" w:cs="Times New Roman"/>
          <w:sz w:val="24"/>
          <w:szCs w:val="24"/>
        </w:rPr>
        <w:t xml:space="preserve">й не только помогает детям освоить конструирование, но и погружает их в мир программирования роботов. Интересно, что исследования компании LEGO показали, что 65% современных учеников в будущем будут работать по специальностям, связанным с этой технологией.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Так, учащиеся не просто получают теоретические знания, а учатся интегрировать их в реальные задачи, развивая навыки критичес</w:t>
      </w:r>
      <w:r>
        <w:rPr>
          <w:rFonts w:ascii="Times New Roman" w:hAnsi="Times New Roman" w:cs="Times New Roman"/>
          <w:sz w:val="24"/>
          <w:szCs w:val="24"/>
        </w:rPr>
        <w:t xml:space="preserve">кого мышления и командной работы. Например, при создании модели мостов, учащиеся сначала изучают физические принципы и основы инженерии, затем обсуждают возможные решения, разрабатывают проекты, строят модели и тестируют их на прочность и функциональность.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Fishbone</w:t>
      </w:r>
      <w:r>
        <w:rPr>
          <w:rFonts w:ascii="Times New Roman" w:hAnsi="Times New Roman" w:cs="Times New Roman"/>
          <w:sz w:val="24"/>
          <w:szCs w:val="24"/>
        </w:rPr>
        <w:t xml:space="preserve">-схема: диагностика проблем и поиск ответов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пути са</w:t>
      </w:r>
      <w:r>
        <w:rPr>
          <w:rFonts w:ascii="Times New Roman" w:hAnsi="Times New Roman" w:cs="Times New Roman"/>
          <w:sz w:val="24"/>
          <w:szCs w:val="24"/>
        </w:rPr>
        <w:t xml:space="preserve">моразвития крайне важно не только определять амбициозные цели, но и прогнозировать возможные препятствия, которые могут возникнуть на пути к их достижению. Одним из самых мощных инструментов для выявления и анализа причин потенциальных трудностей является </w:t>
      </w:r>
      <w:r>
        <w:rPr>
          <w:rFonts w:ascii="Times New Roman" w:hAnsi="Times New Roman" w:cs="Times New Roman"/>
          <w:sz w:val="24"/>
          <w:szCs w:val="24"/>
        </w:rPr>
        <w:t xml:space="preserve">Fishbone</w:t>
      </w:r>
      <w:r>
        <w:rPr>
          <w:rFonts w:ascii="Times New Roman" w:hAnsi="Times New Roman" w:cs="Times New Roman"/>
          <w:sz w:val="24"/>
          <w:szCs w:val="24"/>
        </w:rPr>
        <w:t xml:space="preserve">-схема, также известная как диаграмма Исикавы.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Эта инновационная схема, разработанная в 1952 году японским профессором и советником по качеству Каору Исикавой, представляет собой наглядное изоб</w:t>
      </w:r>
      <w:r>
        <w:rPr>
          <w:rFonts w:ascii="Times New Roman" w:hAnsi="Times New Roman" w:cs="Times New Roman"/>
          <w:sz w:val="24"/>
          <w:szCs w:val="24"/>
        </w:rPr>
        <w:t xml:space="preserve">ражение проблемы и ее причин. Визуально похожую на рыбу, схема состоит из головы, где указывается основной объект изучения или проблема, и костей, отходящих от позвоночника, каждая из которых символизирует одну из причин или факторов, влияющих на проблему.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Рассмотрим несколько примеров практического применения </w:t>
      </w:r>
      <w:r>
        <w:rPr>
          <w:rFonts w:ascii="Times New Roman" w:hAnsi="Times New Roman" w:cs="Times New Roman"/>
          <w:sz w:val="24"/>
          <w:szCs w:val="24"/>
        </w:rPr>
        <w:t xml:space="preserve">Fishbone</w:t>
      </w:r>
      <w:r>
        <w:rPr>
          <w:rFonts w:ascii="Times New Roman" w:hAnsi="Times New Roman" w:cs="Times New Roman"/>
          <w:sz w:val="24"/>
          <w:szCs w:val="24"/>
        </w:rPr>
        <w:t xml:space="preserve">-схемы: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•Учитель, сталкивающийся с низкой успеваемостью</w:t>
      </w:r>
      <w:r>
        <w:rPr>
          <w:rFonts w:ascii="Times New Roman" w:hAnsi="Times New Roman" w:cs="Times New Roman"/>
          <w:sz w:val="24"/>
          <w:szCs w:val="24"/>
        </w:rPr>
        <w:t xml:space="preserve">, поведением</w:t>
      </w:r>
      <w:r>
        <w:rPr>
          <w:rFonts w:ascii="Times New Roman" w:hAnsi="Times New Roman" w:cs="Times New Roman"/>
          <w:sz w:val="24"/>
          <w:szCs w:val="24"/>
        </w:rPr>
        <w:t xml:space="preserve"> класса, может применить </w:t>
      </w:r>
      <w:r>
        <w:rPr>
          <w:rFonts w:ascii="Times New Roman" w:hAnsi="Times New Roman" w:cs="Times New Roman"/>
          <w:sz w:val="24"/>
          <w:szCs w:val="24"/>
        </w:rPr>
        <w:t xml:space="preserve">Fishbone</w:t>
      </w:r>
      <w:r>
        <w:rPr>
          <w:rFonts w:ascii="Times New Roman" w:hAnsi="Times New Roman" w:cs="Times New Roman"/>
          <w:sz w:val="24"/>
          <w:szCs w:val="24"/>
        </w:rPr>
        <w:t xml:space="preserve">-схему для анализа причин, таких как скорость освоения материала, методология преподавания или внешние факторы, влияющие на учеников.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Прелесть </w:t>
      </w:r>
      <w:r>
        <w:rPr>
          <w:rFonts w:ascii="Times New Roman" w:hAnsi="Times New Roman" w:cs="Times New Roman"/>
          <w:sz w:val="24"/>
          <w:szCs w:val="24"/>
        </w:rPr>
        <w:t xml:space="preserve">Fishbone</w:t>
      </w:r>
      <w:r>
        <w:rPr>
          <w:rFonts w:ascii="Times New Roman" w:hAnsi="Times New Roman" w:cs="Times New Roman"/>
          <w:sz w:val="24"/>
          <w:szCs w:val="24"/>
        </w:rPr>
        <w:t xml:space="preserve">-схемы заключается в ее способности детально отображать причинно-следственные связи, делая их понятными и доступными для анализа. Этот метод способствует </w:t>
      </w:r>
      <w:r>
        <w:rPr>
          <w:rFonts w:ascii="Times New Roman" w:hAnsi="Times New Roman" w:cs="Times New Roman"/>
          <w:sz w:val="24"/>
          <w:szCs w:val="24"/>
        </w:rPr>
        <w:t xml:space="preserve">углубленному разбитию проблемы на мелкие, управляемые элемент</w:t>
      </w:r>
      <w:r>
        <w:rPr>
          <w:rFonts w:ascii="Times New Roman" w:hAnsi="Times New Roman" w:cs="Times New Roman"/>
          <w:sz w:val="24"/>
          <w:szCs w:val="24"/>
        </w:rPr>
        <w:t xml:space="preserve">ы, что значительно облегчает ее решение. Благодаря своей универсальности и простоте, эта технология быстро стала популярной во всем мире и находит применения не только в бизнесе и производстве, но и в сфере образования, медицины и даже повседневной жизни. </w:t>
      </w:r>
      <w:r>
        <w:rPr>
          <w:rFonts w:ascii="Times New Roman" w:hAnsi="Times New Roman" w:cs="Times New Roman"/>
          <w:sz w:val="24"/>
          <w:szCs w:val="24"/>
        </w:rPr>
        <w:t xml:space="preserve">Fishbone</w:t>
      </w:r>
      <w:r>
        <w:rPr>
          <w:rFonts w:ascii="Times New Roman" w:hAnsi="Times New Roman" w:cs="Times New Roman"/>
          <w:sz w:val="24"/>
          <w:szCs w:val="24"/>
        </w:rPr>
        <w:t xml:space="preserve">-схема – это незаменимый инструмент для тех, кто стремится к постоянному саморазвитию и улучшению качества своей деятельности.</w:t>
      </w:r>
      <w:r>
        <w:rPr>
          <w:rFonts w:ascii="Times New Roman" w:hAnsi="Times New Roman" w:cs="Times New Roman"/>
          <w:sz w:val="24"/>
          <w:szCs w:val="24"/>
        </w:rPr>
        <w:t xml:space="preserve"> Я применяю при работе над ошибками, допущенными в диктанте. С ребятами рисуем скелет рыбы. Каждый обозначает какие ошибки допущены, причины возникновения, способы их решения. Как определить часть речи?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3299460" cy="1547446"/>
                <wp:effectExtent l="0" t="0" r="0" b="0"/>
                <wp:docPr id="1" name="Рисунок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40503409" name="Picture 7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8"/>
                        <a:stretch/>
                      </pic:blipFill>
                      <pic:spPr bwMode="auto">
                        <a:xfrm>
                          <a:off x="0" y="0"/>
                          <a:ext cx="3309188" cy="155200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0" o:spid="_x0000_s0" type="#_x0000_t75" style="width:259.80pt;height:121.85pt;mso-wrap-distance-left:0.00pt;mso-wrap-distance-top:0.00pt;mso-wrap-distance-right:0.00pt;mso-wrap-distance-bottom:0.00pt;z-index:1;" stroked="f">
                <v:imagedata r:id="rId8" o:title=""/>
                <o:lock v:ext="edit" rotation="t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3"/>
        <w:pBdr/>
        <w:spacing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Bdr/>
        <w:tabs>
          <w:tab w:val="left" w:leader="none" w:pos="1134"/>
        </w:tabs>
        <w:spacing w:after="0" w:line="240" w:lineRule="auto"/>
        <w:ind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pBdr/>
        <w:tabs>
          <w:tab w:val="left" w:leader="none" w:pos="1134"/>
        </w:tabs>
        <w:spacing w:after="0" w:line="240" w:lineRule="auto"/>
        <w:ind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pBdr/>
        <w:tabs>
          <w:tab w:val="left" w:leader="none" w:pos="1134"/>
        </w:tabs>
        <w:spacing w:after="0" w:line="240" w:lineRule="auto"/>
        <w:ind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pStyle w:val="664"/>
        <w:pBdr/>
        <w:tabs>
          <w:tab w:val="left" w:leader="none" w:pos="1134"/>
        </w:tabs>
        <w:spacing w:after="0" w:line="240" w:lineRule="auto"/>
        <w:ind w:left="1524"/>
        <w:rPr>
          <w:rFonts w:ascii="Times New Roman" w:hAnsi="Times New Roman" w:eastAsia="Times New Roman" w:cs="Times New Roman"/>
          <w:color w:val="7030a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7030a0"/>
          <w:sz w:val="28"/>
          <w:szCs w:val="28"/>
          <w:lang w:eastAsia="ru-RU"/>
        </w:rPr>
        <w:t xml:space="preserve">                                                                          </w:t>
      </w:r>
      <w:r>
        <w:rPr>
          <w:rFonts w:ascii="Times New Roman" w:hAnsi="Times New Roman" w:eastAsia="Times New Roman" w:cs="Times New Roman"/>
          <w:color w:val="7030a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7030a0"/>
          <w:sz w:val="28"/>
          <w:szCs w:val="28"/>
          <w:lang w:eastAsia="ru-RU"/>
        </w:rPr>
      </w:r>
    </w:p>
    <w:p>
      <w:pPr>
        <w:pBdr/>
        <w:tabs>
          <w:tab w:val="left" w:leader="none" w:pos="1134"/>
        </w:tabs>
        <w:spacing w:after="0" w:line="240" w:lineRule="auto"/>
        <w:ind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pBdr/>
        <w:spacing/>
        <w:ind/>
        <w:rPr/>
      </w:pPr>
      <w:r>
        <w:rPr>
          <w:rFonts w:ascii="Times New Roman" w:hAnsi="Times New Roman" w:eastAsia="Times New Roman" w:cs="Times New Roman"/>
          <w:color w:val="7030a0"/>
          <w:sz w:val="28"/>
          <w:szCs w:val="28"/>
          <w:lang w:eastAsia="ru-RU"/>
        </w:rPr>
        <w:t xml:space="preserve">                  </w:t>
      </w:r>
      <w:r/>
      <w:r>
        <w:rPr>
          <w:rFonts w:ascii="Times New Roman" w:hAnsi="Times New Roman" w:eastAsia="Times New Roman" w:cs="Times New Roman"/>
          <w:color w:val="7030a0"/>
          <w:sz w:val="28"/>
          <w:szCs w:val="28"/>
          <w:lang w:eastAsia="ru-RU"/>
        </w:rPr>
      </w:r>
      <w:r/>
      <w:r/>
    </w:p>
    <w:sectPr>
      <w:footnotePr/>
      <w:endnotePr/>
      <w:type w:val="nextPage"/>
      <w:pgSz w:h="16838" w:orient="portrait" w:w="11906"/>
      <w:pgMar w:top="1134" w:right="850" w:bottom="1134" w:left="1701" w:header="709" w:footer="709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11">
    <w:name w:val="Table Grid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">
    <w:name w:val="Table Grid Light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">
    <w:name w:val="Plain Table 1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">
    <w:name w:val="Plain Table 2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">
    <w:name w:val="Plain Table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">
    <w:name w:val="Plain Table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">
    <w:name w:val="Plain Table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8">
    <w:name w:val="Grid Table 1 Light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9">
    <w:name w:val="Grid Table 1 Light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0">
    <w:name w:val="Grid Table 1 Light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1">
    <w:name w:val="Grid Table 1 Light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2">
    <w:name w:val="Grid Table 1 Light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3">
    <w:name w:val="Grid Table 1 Light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4">
    <w:name w:val="Grid Table 1 Light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5">
    <w:name w:val="Grid Table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6">
    <w:name w:val="Grid Table 2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7">
    <w:name w:val="Grid Table 2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8">
    <w:name w:val="Grid Table 2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9">
    <w:name w:val="Grid Table 2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0">
    <w:name w:val="Grid Table 2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1">
    <w:name w:val="Grid Table 2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2">
    <w:name w:val="Grid Table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3">
    <w:name w:val="Grid Table 3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4">
    <w:name w:val="Grid Table 3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5">
    <w:name w:val="Grid Table 3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6">
    <w:name w:val="Grid Table 3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7">
    <w:name w:val="Grid Table 3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8">
    <w:name w:val="Grid Table 3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9">
    <w:name w:val="Grid Table 4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0">
    <w:name w:val="Grid Table 4 - Accent 1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1">
    <w:name w:val="Grid Table 4 - Accent 2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2">
    <w:name w:val="Grid Table 4 - Accent 3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3">
    <w:name w:val="Grid Table 4 - Accent 4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4">
    <w:name w:val="Grid Table 4 - Accent 5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5">
    <w:name w:val="Grid Table 4 - Accent 6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6">
    <w:name w:val="Grid Table 5 Dark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7">
    <w:name w:val="Grid Table 5 Dark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e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8">
    <w:name w:val="Grid Table 5 Dark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Grid Table 5 Dark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Grid Table 5 Dark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Grid Table 5 Dark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Grid Table 5 Dark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Grid Table 6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Grid Table 6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6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6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6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6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6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7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7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7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7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7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7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7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List Table 1 Light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List Table 1 Light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List Table 1 Light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List Table 1 Light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List Table 1 Light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List Table 1 Light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List Table 1 Light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List Table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List Table 2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List Table 2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List Table 2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List Table 2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List Table 2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List Table 2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List Table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List Table 3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List Table 3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List Table 3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List Table 3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List Table 3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List Table 3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List Table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List Table 4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List Table 4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List Table 4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List Table 4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List Table 4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List Table 4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List Table 5 Dark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List Table 5 Dark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List Table 5 Dark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List Table 5 Dark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List Table 5 Dark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List Table 5 Dark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List Table 5 Dark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List Table 6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List Table 6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6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6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6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6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6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7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7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7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7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7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7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7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ned - Accent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ned - Accent 1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ned - Accent 2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ned - Accent 3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ned - Accent 4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ned - Accent 5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ned - Accent 6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Bordered &amp; Lined - Accent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Bordered &amp; Lined - Accent 1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Bordered &amp; Lined - Accent 2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Bordered &amp; Lined - Accent 3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Bordered &amp; Lined - Accent 4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Bordered &amp; Lined - Accent 5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Bordered &amp; Lined - Accent 6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Bordered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Bordered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Bordered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Bordered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Bordered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Bordered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Bordered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38">
    <w:name w:val="Heading 1"/>
    <w:basedOn w:val="660"/>
    <w:next w:val="660"/>
    <w:link w:val="149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139">
    <w:name w:val="Heading 2"/>
    <w:basedOn w:val="660"/>
    <w:next w:val="660"/>
    <w:link w:val="150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140">
    <w:name w:val="Heading 3"/>
    <w:basedOn w:val="660"/>
    <w:next w:val="660"/>
    <w:link w:val="151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141">
    <w:name w:val="Heading 4"/>
    <w:basedOn w:val="660"/>
    <w:next w:val="660"/>
    <w:link w:val="152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142">
    <w:name w:val="Heading 5"/>
    <w:basedOn w:val="660"/>
    <w:next w:val="660"/>
    <w:link w:val="153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143">
    <w:name w:val="Heading 6"/>
    <w:basedOn w:val="660"/>
    <w:next w:val="660"/>
    <w:link w:val="154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144">
    <w:name w:val="Heading 7"/>
    <w:basedOn w:val="660"/>
    <w:next w:val="660"/>
    <w:link w:val="155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145">
    <w:name w:val="Heading 8"/>
    <w:basedOn w:val="660"/>
    <w:next w:val="660"/>
    <w:link w:val="156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146">
    <w:name w:val="Heading 9"/>
    <w:basedOn w:val="660"/>
    <w:next w:val="660"/>
    <w:link w:val="157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147" w:default="1">
    <w:name w:val="Default Paragraph Font"/>
    <w:uiPriority w:val="1"/>
    <w:semiHidden/>
    <w:unhideWhenUsed/>
    <w:pPr>
      <w:pBdr/>
      <w:spacing/>
      <w:ind/>
    </w:pPr>
  </w:style>
  <w:style w:type="character" w:styleId="149">
    <w:name w:val="Heading 1 Char"/>
    <w:basedOn w:val="147"/>
    <w:link w:val="138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150">
    <w:name w:val="Heading 2 Char"/>
    <w:basedOn w:val="147"/>
    <w:link w:val="13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151">
    <w:name w:val="Heading 3 Char"/>
    <w:basedOn w:val="147"/>
    <w:link w:val="140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152">
    <w:name w:val="Heading 4 Char"/>
    <w:basedOn w:val="147"/>
    <w:link w:val="141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153">
    <w:name w:val="Heading 5 Char"/>
    <w:basedOn w:val="147"/>
    <w:link w:val="142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154">
    <w:name w:val="Heading 6 Char"/>
    <w:basedOn w:val="147"/>
    <w:link w:val="143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155">
    <w:name w:val="Heading 7 Char"/>
    <w:basedOn w:val="147"/>
    <w:link w:val="144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156">
    <w:name w:val="Heading 8 Char"/>
    <w:basedOn w:val="147"/>
    <w:link w:val="145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157">
    <w:name w:val="Heading 9 Char"/>
    <w:basedOn w:val="147"/>
    <w:link w:val="146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158">
    <w:name w:val="Title"/>
    <w:basedOn w:val="660"/>
    <w:next w:val="660"/>
    <w:link w:val="159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159">
    <w:name w:val="Title Char"/>
    <w:basedOn w:val="147"/>
    <w:link w:val="158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160">
    <w:name w:val="Subtitle"/>
    <w:basedOn w:val="660"/>
    <w:next w:val="660"/>
    <w:link w:val="161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161">
    <w:name w:val="Subtitle Char"/>
    <w:basedOn w:val="147"/>
    <w:link w:val="160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162">
    <w:name w:val="Quote"/>
    <w:basedOn w:val="660"/>
    <w:next w:val="660"/>
    <w:link w:val="163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163">
    <w:name w:val="Quote Char"/>
    <w:basedOn w:val="147"/>
    <w:link w:val="162"/>
    <w:uiPriority w:val="29"/>
    <w:pPr>
      <w:pBdr/>
      <w:spacing/>
      <w:ind/>
    </w:pPr>
    <w:rPr>
      <w:i/>
      <w:iCs/>
      <w:color w:val="404040" w:themeColor="text1" w:themeTint="BF"/>
    </w:rPr>
  </w:style>
  <w:style w:type="character" w:styleId="165">
    <w:name w:val="Intense Emphasis"/>
    <w:basedOn w:val="147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166">
    <w:name w:val="Intense Quote"/>
    <w:basedOn w:val="660"/>
    <w:next w:val="660"/>
    <w:link w:val="167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167">
    <w:name w:val="Intense Quote Char"/>
    <w:basedOn w:val="147"/>
    <w:link w:val="166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168">
    <w:name w:val="Intense Reference"/>
    <w:basedOn w:val="147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170">
    <w:name w:val="Subtle Emphasis"/>
    <w:basedOn w:val="147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71">
    <w:name w:val="Emphasis"/>
    <w:basedOn w:val="147"/>
    <w:uiPriority w:val="20"/>
    <w:qFormat/>
    <w:pPr>
      <w:pBdr/>
      <w:spacing/>
      <w:ind/>
    </w:pPr>
    <w:rPr>
      <w:i/>
      <w:iCs/>
    </w:rPr>
  </w:style>
  <w:style w:type="character" w:styleId="172">
    <w:name w:val="Strong"/>
    <w:basedOn w:val="147"/>
    <w:uiPriority w:val="22"/>
    <w:qFormat/>
    <w:pPr>
      <w:pBdr/>
      <w:spacing/>
      <w:ind/>
    </w:pPr>
    <w:rPr>
      <w:b/>
      <w:bCs/>
    </w:rPr>
  </w:style>
  <w:style w:type="character" w:styleId="173">
    <w:name w:val="Subtle Reference"/>
    <w:basedOn w:val="147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74">
    <w:name w:val="Book Title"/>
    <w:basedOn w:val="147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175">
    <w:name w:val="Header"/>
    <w:basedOn w:val="660"/>
    <w:link w:val="176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6">
    <w:name w:val="Header Char"/>
    <w:basedOn w:val="147"/>
    <w:link w:val="175"/>
    <w:uiPriority w:val="99"/>
    <w:pPr>
      <w:pBdr/>
      <w:spacing/>
      <w:ind/>
    </w:pPr>
  </w:style>
  <w:style w:type="paragraph" w:styleId="177">
    <w:name w:val="Footer"/>
    <w:basedOn w:val="660"/>
    <w:link w:val="178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8">
    <w:name w:val="Footer Char"/>
    <w:basedOn w:val="147"/>
    <w:link w:val="177"/>
    <w:uiPriority w:val="99"/>
    <w:pPr>
      <w:pBdr/>
      <w:spacing/>
      <w:ind/>
    </w:pPr>
  </w:style>
  <w:style w:type="paragraph" w:styleId="179">
    <w:name w:val="Caption"/>
    <w:basedOn w:val="660"/>
    <w:next w:val="660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180">
    <w:name w:val="footnote text"/>
    <w:basedOn w:val="660"/>
    <w:link w:val="181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1">
    <w:name w:val="Footnote Text Char"/>
    <w:basedOn w:val="147"/>
    <w:link w:val="180"/>
    <w:uiPriority w:val="99"/>
    <w:semiHidden/>
    <w:pPr>
      <w:pBdr/>
      <w:spacing/>
      <w:ind/>
    </w:pPr>
    <w:rPr>
      <w:sz w:val="20"/>
      <w:szCs w:val="20"/>
    </w:rPr>
  </w:style>
  <w:style w:type="character" w:styleId="182">
    <w:name w:val="foot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paragraph" w:styleId="183">
    <w:name w:val="endnote text"/>
    <w:basedOn w:val="660"/>
    <w:link w:val="184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4">
    <w:name w:val="Endnote Text Char"/>
    <w:basedOn w:val="147"/>
    <w:link w:val="183"/>
    <w:uiPriority w:val="99"/>
    <w:semiHidden/>
    <w:pPr>
      <w:pBdr/>
      <w:spacing/>
      <w:ind/>
    </w:pPr>
    <w:rPr>
      <w:sz w:val="20"/>
      <w:szCs w:val="20"/>
    </w:rPr>
  </w:style>
  <w:style w:type="character" w:styleId="185">
    <w:name w:val="end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character" w:styleId="186">
    <w:name w:val="Hyperlink"/>
    <w:basedOn w:val="147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187">
    <w:name w:val="FollowedHyperlink"/>
    <w:basedOn w:val="147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88">
    <w:name w:val="toc 1"/>
    <w:basedOn w:val="660"/>
    <w:next w:val="660"/>
    <w:uiPriority w:val="39"/>
    <w:unhideWhenUsed/>
    <w:pPr>
      <w:pBdr/>
      <w:spacing w:after="100"/>
      <w:ind/>
    </w:pPr>
  </w:style>
  <w:style w:type="paragraph" w:styleId="189">
    <w:name w:val="toc 2"/>
    <w:basedOn w:val="660"/>
    <w:next w:val="660"/>
    <w:uiPriority w:val="39"/>
    <w:unhideWhenUsed/>
    <w:pPr>
      <w:pBdr/>
      <w:spacing w:after="100"/>
      <w:ind w:left="220"/>
    </w:pPr>
  </w:style>
  <w:style w:type="paragraph" w:styleId="190">
    <w:name w:val="toc 3"/>
    <w:basedOn w:val="660"/>
    <w:next w:val="660"/>
    <w:uiPriority w:val="39"/>
    <w:unhideWhenUsed/>
    <w:pPr>
      <w:pBdr/>
      <w:spacing w:after="100"/>
      <w:ind w:left="440"/>
    </w:pPr>
  </w:style>
  <w:style w:type="paragraph" w:styleId="191">
    <w:name w:val="toc 4"/>
    <w:basedOn w:val="660"/>
    <w:next w:val="660"/>
    <w:uiPriority w:val="39"/>
    <w:unhideWhenUsed/>
    <w:pPr>
      <w:pBdr/>
      <w:spacing w:after="100"/>
      <w:ind w:left="660"/>
    </w:pPr>
  </w:style>
  <w:style w:type="paragraph" w:styleId="192">
    <w:name w:val="toc 5"/>
    <w:basedOn w:val="660"/>
    <w:next w:val="660"/>
    <w:uiPriority w:val="39"/>
    <w:unhideWhenUsed/>
    <w:pPr>
      <w:pBdr/>
      <w:spacing w:after="100"/>
      <w:ind w:left="880"/>
    </w:pPr>
  </w:style>
  <w:style w:type="paragraph" w:styleId="193">
    <w:name w:val="toc 6"/>
    <w:basedOn w:val="660"/>
    <w:next w:val="660"/>
    <w:uiPriority w:val="39"/>
    <w:unhideWhenUsed/>
    <w:pPr>
      <w:pBdr/>
      <w:spacing w:after="100"/>
      <w:ind w:left="1100"/>
    </w:pPr>
  </w:style>
  <w:style w:type="paragraph" w:styleId="194">
    <w:name w:val="toc 7"/>
    <w:basedOn w:val="660"/>
    <w:next w:val="660"/>
    <w:uiPriority w:val="39"/>
    <w:unhideWhenUsed/>
    <w:pPr>
      <w:pBdr/>
      <w:spacing w:after="100"/>
      <w:ind w:left="1320"/>
    </w:pPr>
  </w:style>
  <w:style w:type="paragraph" w:styleId="195">
    <w:name w:val="toc 8"/>
    <w:basedOn w:val="660"/>
    <w:next w:val="660"/>
    <w:uiPriority w:val="39"/>
    <w:unhideWhenUsed/>
    <w:pPr>
      <w:pBdr/>
      <w:spacing w:after="100"/>
      <w:ind w:left="1540"/>
    </w:pPr>
  </w:style>
  <w:style w:type="paragraph" w:styleId="196">
    <w:name w:val="toc 9"/>
    <w:basedOn w:val="660"/>
    <w:next w:val="660"/>
    <w:uiPriority w:val="39"/>
    <w:unhideWhenUsed/>
    <w:pPr>
      <w:pBdr/>
      <w:spacing w:after="100"/>
      <w:ind w:left="1760"/>
    </w:pPr>
  </w:style>
  <w:style w:type="paragraph" w:styleId="206">
    <w:name w:val="TOC Heading"/>
    <w:uiPriority w:val="39"/>
    <w:unhideWhenUsed/>
    <w:pPr>
      <w:pBdr/>
      <w:spacing/>
      <w:ind/>
    </w:pPr>
  </w:style>
  <w:style w:type="paragraph" w:styleId="207">
    <w:name w:val="table of figures"/>
    <w:basedOn w:val="660"/>
    <w:next w:val="660"/>
    <w:uiPriority w:val="99"/>
    <w:unhideWhenUsed/>
    <w:pPr>
      <w:pBdr/>
      <w:spacing w:after="0" w:afterAutospacing="0"/>
      <w:ind/>
    </w:pPr>
  </w:style>
  <w:style w:type="paragraph" w:styleId="660" w:default="1">
    <w:name w:val="Normal"/>
    <w:qFormat/>
    <w:pPr>
      <w:pBdr/>
      <w:spacing/>
      <w:ind/>
    </w:pPr>
  </w:style>
  <w:style w:type="table" w:styleId="661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662" w:default="1">
    <w:name w:val="No List"/>
    <w:uiPriority w:val="99"/>
    <w:semiHidden/>
    <w:unhideWhenUsed/>
    <w:pPr>
      <w:pBdr/>
      <w:spacing/>
      <w:ind/>
    </w:pPr>
  </w:style>
  <w:style w:type="paragraph" w:styleId="663">
    <w:name w:val="No Spacing"/>
    <w:basedOn w:val="660"/>
    <w:uiPriority w:val="1"/>
    <w:qFormat/>
    <w:pPr>
      <w:pBdr/>
      <w:spacing w:after="0" w:line="240" w:lineRule="auto"/>
      <w:ind/>
    </w:pPr>
  </w:style>
  <w:style w:type="paragraph" w:styleId="664">
    <w:name w:val="List Paragraph"/>
    <w:basedOn w:val="660"/>
    <w:uiPriority w:val="34"/>
    <w:qFormat/>
    <w:pPr>
      <w:pBdr/>
      <w:spacing/>
      <w:ind w:left="720"/>
      <w:contextualSpacing w:val="true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ONLYOFFICE/8.2.2.22</Application>
  <DocSecurity>0</DocSecurity>
  <ScaleCrop>0</ScaleCrop>
  <HeadingPairs>
    <vt:vector size="0" baseType="variant"/>
  </HeadingPairs>
  <TitlesOfParts>
    <vt:vector size="0" baseType="lpstr"/>
  </TitlesOfParts>
  <LinksUpToDate>0</LinksUpToDate>
  <SharedDoc>0</SharedDoc>
  <HyperlinksChanged>0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2025-05-10T07:06:08Z</dcterms:modified>
</cp:coreProperties>
</file>